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«Биологическое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Противодействие коррупции в образовательной сфере</w:t>
            </w:r>
          </w:p>
          <w:p>
            <w:pPr>
              <w:jc w:val="center"/>
              <w:spacing w:after="0" w:line="240" w:lineRule="auto"/>
              <w:rPr>
                <w:sz w:val="32"/>
                <w:szCs w:val="32"/>
              </w:rPr>
            </w:pPr>
            <w:r>
              <w:rPr>
                <w:rFonts w:ascii="Times New Roman" w:hAnsi="Times New Roman" w:cs="Times New Roman"/>
                <w:color w:val="#000000"/>
                <w:sz w:val="32"/>
                <w:szCs w:val="32"/>
              </w:rPr>
              <w:t> ФТД.02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«Биологическое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«Биологическое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«Противодействие коррупции в образовательной сфере»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ФТД.02 «Противодействие коррупции в образовательной сфере».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«Противодействие коррупции в образовательной сфере»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сущность приоритетных направлений развития образовательной системы Российской Федерации, законов и иных нормативно-правовых актов, регламентирующих образовательную деятельность в Российской Федерации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объяснять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владеть навыком применения в своей деятельности основных нормативно- правовых актов в сфере образования и норм профессиональной этики, обеспечивающих конфиденциальность сведений о субъектах образовательных отношений, полученных в процессе профессиональной 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навыками работы с законодательными и другими нормативными правовыми актами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416.74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ФТД.02 «Противодействие коррупции в образовательной сфере»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3828" w:type="dxa"/>
          </w:tcPr>
          <w:p/>
        </w:tc>
        <w:tc>
          <w:tcPr>
            <w:tcW w:w="852" w:type="dxa"/>
          </w:tcPr>
          <w:p/>
        </w:tc>
        <w:tc>
          <w:tcPr>
            <w:tcW w:w="993" w:type="dxa"/>
          </w:tcPr>
          <w:p/>
        </w:tc>
      </w:tr>
      <w:tr>
        <w:trPr>
          <w:trHeight w:hRule="exact" w:val="277.8301"/>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Книгоиздательское дело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p>
            <w:pPr>
              <w:jc w:val="center"/>
              <w:spacing w:after="0" w:line="240" w:lineRule="auto"/>
              <w:rPr>
                <w:sz w:val="22"/>
                <w:szCs w:val="22"/>
              </w:rPr>
            </w:pPr>
            <w:r>
              <w:rPr>
                <w:rFonts w:ascii="Times New Roman" w:hAnsi="Times New Roman" w:cs="Times New Roman"/>
                <w:color w:val="#000000"/>
                <w:sz w:val="22"/>
                <w:szCs w:val="22"/>
              </w:rPr>
              <w:t> Современное телевидение</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УК-10</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39.051"/>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9654" w:type="dxa"/>
            <w:gridSpan w:val="4"/>
            <w:tcBorders>
</w:tcBorders>
            <w:shd w:val="clear" w:color="#000000" w:fill="#FFFFFF"/>
            <w:vAlign w:val="top"/>
            <w:tcMar>
              <w:left w:w="34" w:type="dxa"/>
              <w:right w:w="34" w:type="dxa"/>
            </w:tcMar>
          </w:tcP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природа  и последствия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866.85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противодействия коррупции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Международные стандарты противодействия коррупции. Основные способы борьбы с ней.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правовые акты в сфере противодействии коррупции. Система правовых средств противодеи̌ствия коррупции. Национальная стратегия противодействия коррупции и Национальный план противодействия коррупции. Органы государственной власти, участвующие в разработке и реализации направлений государственной политики в сфере противодействия коррупции. Структура антикоррупционных программ органов власти.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Противодействие коррупции в системе управления народным хозяйством. Правовое антикоррупционное регулирование нормотворческой деятельности на федеральном, региональном и местном уровнях.  Исследование результатов применения мер по предупреждению, пресечению коррупции и мер ответственности за совершение коррупционных правонарушений. Проблемы совершенствования российского законодательства о противодействии коррупции.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«Противодействие коррупции в образовательной сфере» / Кузнецова Е.К..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экспертиза</w:t>
            </w:r>
            <w:r>
              <w:rPr/>
              <w:t xml:space="preserve"> </w:t>
            </w:r>
            <w:r>
              <w:rPr>
                <w:rFonts w:ascii="Times New Roman" w:hAnsi="Times New Roman" w:cs="Times New Roman"/>
                <w:color w:val="#000000"/>
                <w:sz w:val="24"/>
                <w:szCs w:val="24"/>
              </w:rPr>
              <w:t>нормативных</w:t>
            </w:r>
            <w:r>
              <w:rPr/>
              <w:t xml:space="preserve"> </w:t>
            </w:r>
            <w:r>
              <w:rPr>
                <w:rFonts w:ascii="Times New Roman" w:hAnsi="Times New Roman" w:cs="Times New Roman"/>
                <w:color w:val="#000000"/>
                <w:sz w:val="24"/>
                <w:szCs w:val="24"/>
              </w:rPr>
              <w:t>правовых</w:t>
            </w:r>
            <w:r>
              <w:rPr/>
              <w:t xml:space="preserve"> </w:t>
            </w:r>
            <w:r>
              <w:rPr>
                <w:rFonts w:ascii="Times New Roman" w:hAnsi="Times New Roman" w:cs="Times New Roman"/>
                <w:color w:val="#000000"/>
                <w:sz w:val="24"/>
                <w:szCs w:val="24"/>
              </w:rPr>
              <w:t>актов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их</w:t>
            </w:r>
            <w:r>
              <w:rPr/>
              <w:t xml:space="preserve"> </w:t>
            </w:r>
            <w:r>
              <w:rPr>
                <w:rFonts w:ascii="Times New Roman" w:hAnsi="Times New Roman" w:cs="Times New Roman"/>
                <w:color w:val="#000000"/>
                <w:sz w:val="24"/>
                <w:szCs w:val="24"/>
              </w:rPr>
              <w:t>проектов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Бурмистрова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Головко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Исламова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Кулик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юридический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(филиал)</w:t>
            </w:r>
            <w:r>
              <w:rPr/>
              <w:t xml:space="preserve"> </w:t>
            </w:r>
            <w:r>
              <w:rPr>
                <w:rFonts w:ascii="Times New Roman" w:hAnsi="Times New Roman" w:cs="Times New Roman"/>
                <w:color w:val="#000000"/>
                <w:sz w:val="24"/>
                <w:szCs w:val="24"/>
              </w:rPr>
              <w:t>Академии</w:t>
            </w:r>
            <w:r>
              <w:rPr/>
              <w:t xml:space="preserve"> </w:t>
            </w:r>
            <w:r>
              <w:rPr>
                <w:rFonts w:ascii="Times New Roman" w:hAnsi="Times New Roman" w:cs="Times New Roman"/>
                <w:color w:val="#000000"/>
                <w:sz w:val="24"/>
                <w:szCs w:val="24"/>
              </w:rPr>
              <w:t>Генеральной</w:t>
            </w:r>
            <w:r>
              <w:rPr/>
              <w:t xml:space="preserve"> </w:t>
            </w:r>
            <w:r>
              <w:rPr>
                <w:rFonts w:ascii="Times New Roman" w:hAnsi="Times New Roman" w:cs="Times New Roman"/>
                <w:color w:val="#000000"/>
                <w:sz w:val="24"/>
                <w:szCs w:val="24"/>
              </w:rPr>
              <w:t>прокуратуры</w:t>
            </w:r>
            <w:r>
              <w:rPr/>
              <w:t xml:space="preserve"> </w:t>
            </w:r>
            <w:r>
              <w:rPr>
                <w:rFonts w:ascii="Times New Roman" w:hAnsi="Times New Roman" w:cs="Times New Roman"/>
                <w:color w:val="#000000"/>
                <w:sz w:val="24"/>
                <w:szCs w:val="24"/>
              </w:rPr>
              <w:t>РФ,</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http://www.iprbookshop.ru/73003.html</w:t>
            </w:r>
            <w:r>
              <w:rPr/>
              <w:t xml:space="preserve"> </w:t>
            </w:r>
          </w:p>
        </w:tc>
      </w:tr>
      <w:tr>
        <w:trPr>
          <w:trHeight w:hRule="exact" w:val="2719.2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Хабриева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Габов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Ноздрачев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Абузярова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Кошаева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Ломакина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Матулис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Семилютина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Севальнев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Трунцевский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Черепанова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Хабриевой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законодательства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сравнительного</w:t>
            </w:r>
            <w:r>
              <w:rPr/>
              <w:t xml:space="preserve"> </w:t>
            </w:r>
            <w:r>
              <w:rPr>
                <w:rFonts w:ascii="Times New Roman" w:hAnsi="Times New Roman" w:cs="Times New Roman"/>
                <w:color w:val="#000000"/>
                <w:sz w:val="24"/>
                <w:szCs w:val="24"/>
              </w:rPr>
              <w:t>правоведения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Правительстве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Юриспруденция,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978-5-9516-0815-4.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http://www.iprbookshop.ru/86535.html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субъектов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Басос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Илюшина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Ишеков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Казачкова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Кирилин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Красиков</w:t>
            </w:r>
            <w:r>
              <w:rPr/>
              <w:t xml:space="preserve"> </w:t>
            </w:r>
          </w:p>
        </w:tc>
      </w:tr>
      <w:tr>
        <w:trPr>
          <w:trHeight w:hRule="exact" w:val="585.7964"/>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Малеванова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Фоменко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978-5-00094-613-8.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http://www.iprbookshop.ru/86914.html</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914.9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00.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2024-2025_ФГОС3++2024_Бак-ОФО-ПО(БО)(24)_plx_Противодействие коррупции в образовательной сфере</dc:title>
  <dc:creator>FastReport.NET</dc:creator>
</cp:coreProperties>
</file>